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ACOPOS P3 odolává vlivům prostředí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Servopohon B&amp;R je nyní odolnější</w:t>
      </w:r>
    </w:p>
    <w:p>
      <w:pPr>
        <w:pStyle w:val="par-first"/>
        <w:ind w:left="0"/>
        <w:jc w:val="left"/>
      </w:pPr>
      <w:r>
        <w:rPr>
          <w:i/>
          <w:i/>
        </w:rPr>
        <w:t xml:space="preserve">Kompaktní servopohon B&amp;R je vhodný pro použití v agresivním atmosférickém prostředí a při teplotách až -25 °C. Elektronika servopohonu ACOPOS P3 je standardně chráněna před vnějšími vlivy speciální povrchovou úpravou, díky které je servopohon ještě odolnější.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Servopohon lze nyní používat v extrémních podmínkách, jako například takových, kterým čelí větrné turbíny. Možné jsou také aplikace v chladných místnostech nebo ve velmi prašném prostředí, například v textilním průmyslu. Není již tedy zapotřebí nakupovat další drahý speciální hardware, což vede ke snížení nákladů.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Komplexní testování</w:t>
      </w:r>
    </w:p>
    <w:p>
      <w:pPr>
        <w:pStyle w:val="par"/>
        <w:ind w:left="0"/>
      </w:pPr>
      <w:r>
        <w:rPr/>
        <w:t xml:space="preserve">Společnost B&amp;R provádí rozsáhlé environmentální testy, aby zajistila spolehlivý výkon svého hardwaru. Zkoušky se provádějí ve vlastní, plně akreditované zkušební laboratoři a v certifikovaných externích zkušebnách v souladu s mezinárodními normami a předpisy.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ACOPOS P3_3000 x 2000 px_robus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POS P3_3000 x 2000 px_robustness"/>
                    <pic:cNvPicPr/>
                  </pic:nvPicPr>
                  <pic:blipFill>
                    <a:blip xmlns:r="http://schemas.openxmlformats.org/officeDocument/2006/relationships" cstate="print" r:embed="N1039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Elektronika ACOPOS P3 je speciálně potažena pro použití v agresivních atmosférických podmínkách a při teplotách až -25 °C.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B&amp;R</w:t>
      </w:r>
    </w:p>
    <w:p>
      <w:pPr>
        <w:pStyle w:val="par"/>
        <w:ind w:left="0"/>
      </w:pPr>
      <w:r>
        <w:rPr>
          <w:sz w:val="16"/>
        </w:rPr>
        <w:t xml:space="preserve">B&amp;R je inovativní společnost zabývající se automatizací se sídlem v Rakousku a sítí poboček po celém světě. Jako celosvětový lídr v oblasti průmyslové automatizace, B&amp;R nabízí nejmodernější technologii s cílem poskytnout zákazníkům prakticky v každém odvětví kompletní řešení pro automatizaci strojů a procesů, řízení pohybu, HMI a integrovanou funkční bezpečnost. B&amp;R neustále definuje trendy v oblasti průmyslové automatizace díky použití komunikačních standardů, jako je POWERLINK a openSAFETY, stejně jako mocného vývojového prostředí Automation Studio. Inovativní duch, který udržuje B&amp;R v čele průmyslové automatizace je řízen závazkem ke zjednodušení procesů a překonáváním očekávání zákazníků.</w:t>
      </w:r>
    </w:p>
    <w:p>
      <w:pPr>
        <w:pStyle w:val="par"/>
        <w:ind w:left="0"/>
      </w:pPr>
      <w:r>
        <w:rPr>
          <w:sz w:val="16"/>
        </w:rPr>
        <w:t xml:space="preserve">Více informací najdete na www.br-automation.com </w:t>
      </w:r>
    </w:p>
    <w:sectPr>
      <w:headerReference xmlns:r="http://schemas.openxmlformats.org/officeDocument/2006/relationships" r:id="N10418" w:type="default"/>
      <w:footerReference xmlns:r="http://schemas.openxmlformats.org/officeDocument/2006/relationships" r:id="N104AC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Kontakt na tiskové oddělení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Strana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Tisková zpráva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7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18" Target="header1.xml" Type="http://schemas.openxmlformats.org/officeDocument/2006/relationships/header"/><Relationship Id="N104AC" Target="footer1.xml" Type="http://schemas.openxmlformats.org/officeDocument/2006/relationships/footer"/><Relationship Id="N10397" Target="media/N10397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7F" Target="media/N1047F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