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Tecnología de panel versátil para un mantenimiento sencillo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B&amp;R presenta el Automation Panel 1000</w:t>
      </w:r>
    </w:p>
    <w:p>
      <w:pPr>
        <w:pStyle w:val="par-first"/>
        <w:ind w:left="0"/>
        <w:jc w:val="left"/>
      </w:pPr>
      <w:r>
        <w:rPr>
          <w:i/>
          <w:i/>
        </w:rPr>
        <w:t xml:space="preserve">B&amp;R está ampliando la familia de los Automation Panels con una nueva serie de formatos de pantallas panorámicas que van de las 7" WVGA a 24" Full HD. Los Automation Panel 1000 ofrecen opciones de montaje fáciles y flexibles.  Su diseño delgado está disponible con pantallas táctiles o multitáctiles. Incorporando la unidad de PC, es posible convertir el mismo panel en un completo Panel PC con un rendimiento de procesamiento escalable.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Uso flexible con todas las series de productos</w:t>
      </w:r>
    </w:p>
    <w:p>
      <w:pPr>
        <w:pStyle w:val="par"/>
        <w:ind w:left="0"/>
      </w:pPr>
      <w:r>
        <w:rPr/>
        <w:t xml:space="preserve">El componente central es el propio panel, que está disponible en diferentes formatos de pantallas panorámicas que van de las 7" WGA a 24" Full HD. Con la incorporación de un receptor modular SDL/DVI, se convierte en un terminal de operaciones. Cuando se usa la tecnología de transmisión de señales digitales SDL3, se pueden salvar más de 100 metros entre la terminal y el PC.  Se usan cables ethernet estándar. Los Panels PCs ofrecen potencia informática escalable desde Intel Atom a Core i7.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Fácil mantenimiento</w:t>
      </w:r>
    </w:p>
    <w:p>
      <w:pPr>
        <w:pStyle w:val="par"/>
        <w:ind w:left="0"/>
      </w:pPr>
      <w:r>
        <w:rPr/>
        <w:t xml:space="preserve">La plataforma modular, que consiste en un panel, un receptor SDL/SDL3 y un PC, supone ahorros considerables en los costes de mantenimiento. En caso de una actualización, no es necesario reemplazar el Panel PC entero.  Con una interfaz uniforme, B&amp;R ha establecido un sistema de plataformas flexible para todas las futuras arquitecturas de PC. Como los componentes de la pantalla y del PC están separados, es posible actualizar la tecnología del PC y mantener la unidad del pantalla. </w:t>
      </w:r>
    </w:p>
    <w:p/>
    <w:bookmarkStart w:id="5" w:name="_XREFN100C2"/>
    <w:bookmarkStart w:id="6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AP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 1000"/>
                    <pic:cNvPicPr/>
                  </pic:nvPicPr>
                  <pic:blipFill>
                    <a:blip xmlns:r="http://schemas.openxmlformats.org/officeDocument/2006/relationships" cstate="print" r:embed="N103A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La plataforma modular del Automation Panel 1000 se traduce en una cartera de productos con una flexibilidad extraordinaria. 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Acerca de B&amp;R</w:t>
      </w:r>
    </w:p>
    <w:p>
      <w:pPr>
        <w:pStyle w:val="par"/>
        <w:ind w:left="0"/>
      </w:pPr>
      <w:r>
        <w:rPr>
          <w:sz w:val="16"/>
        </w:rPr>
        <w:t xml:space="preserve">B&amp;R es una innovadora empresa de automatización con sede en Austria y oficinas en todo el mundo. Como líder mundial en automatización industrial, B&amp;R combina tecnología punta con ingeniería avanzada para ofrecer a los clientes, en prácticamente todas las industrias, soluciones completas para automatización de máquinas y fábricas, control de movimiento, HMI y tecnología de seguridad integrada. Con estándares industriales de comunicación de bus de campo como POWERLINK y openSAFETY, además del potente entorno de desarrollo de software Automation Studio, B&amp;R está constantemente redefiniendo el futuro de la automatización. El espíritu innovador que mantiene a B&amp;R al frente de la automatización industrial está impulsado por el compromiso de simplificar los procesos y superar las expectativas del cliente.</w:t>
      </w:r>
    </w:p>
    <w:p>
      <w:pPr>
        <w:pStyle w:val="par"/>
        <w:ind w:left="0"/>
      </w:pPr>
      <w:r>
        <w:rPr>
          <w:sz w:val="16"/>
        </w:rPr>
        <w:t xml:space="preserve">Para más información, visite www.br-automation.com. </w:t>
      </w:r>
    </w:p>
    <w:p>
      <w:pPr>
        <w:pStyle w:val="par"/>
        <w:ind w:left="0"/>
      </w:pPr>
      <w:r>
        <w:rPr>
          <w:b/>
          <w:sz w:val="16"/>
        </w:rPr>
        <w:t xml:space="preserve">Si publica esta nota de prensa, por favor envíe una copia a:</w:t>
      </w:r>
    </w:p>
    <w:p>
      <w:pPr>
        <w:pStyle w:val="par"/>
        <w:ind w:left="0"/>
      </w:pPr>
      <w:r>
        <w:rPr>
          <w:sz w:val="16"/>
        </w:rPr>
        <w:t xml:space="preserve">Bernecker &amp; Rainer Automatización industrial S.L.U. </w:t>
      </w:r>
      <w:r>
        <w:br w:type="textWrapping"/>
      </w:r>
      <w:r>
        <w:rPr>
          <w:sz w:val="16"/>
        </w:rPr>
        <w:t xml:space="preserve">Vallsolana Garden Business Park </w:t>
      </w:r>
      <w:r>
        <w:br w:type="textWrapping"/>
      </w:r>
      <w:r>
        <w:rPr>
          <w:sz w:val="16"/>
        </w:rPr>
        <w:t xml:space="preserve">Camí de Can Camps, 17-19 </w:t>
      </w:r>
      <w:r>
        <w:br w:type="textWrapping"/>
      </w:r>
      <w:r>
        <w:rPr>
          <w:sz w:val="16"/>
        </w:rPr>
        <w:t xml:space="preserve">08174 Sant Cugat del Vallés </w:t>
      </w:r>
      <w:r>
        <w:br w:type="textWrapping"/>
      </w:r>
      <w:r>
        <w:rPr>
          <w:sz w:val="16"/>
        </w:rPr>
        <w:t xml:space="preserve">Barcelona </w:t>
      </w:r>
      <w:r>
        <w:br w:type="textWrapping"/>
      </w:r>
      <w:r>
        <w:br w:type="textWrapping"/>
      </w:r>
      <w:r>
        <w:rPr>
          <w:sz w:val="16"/>
        </w:rPr>
        <w:t xml:space="preserve">o al e-mail: office.es@br-automation.com</w:t>
      </w:r>
    </w:p>
    <w:sectPr>
      <w:headerReference xmlns:r="http://schemas.openxmlformats.org/officeDocument/2006/relationships" r:id="N1047E" w:type="default"/>
      <w:footerReference xmlns:r="http://schemas.openxmlformats.org/officeDocument/2006/relationships" r:id="N10512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Contacto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Página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Nota de prensa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E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7E" Target="header1.xml" Type="http://schemas.openxmlformats.org/officeDocument/2006/relationships/header"/><Relationship Id="N10512" Target="footer1.xml" Type="http://schemas.openxmlformats.org/officeDocument/2006/relationships/footer"/><Relationship Id="N103A1" Target="media/N103A1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E5" Target="media/N104E5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